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4545" w14:textId="77777777" w:rsidR="00091A91" w:rsidRDefault="00091A91" w:rsidP="00091A91">
      <w:pPr>
        <w:tabs>
          <w:tab w:val="left" w:pos="1134"/>
        </w:tabs>
        <w:rPr>
          <w:b/>
          <w:noProof/>
          <w:snapToGrid/>
        </w:rPr>
      </w:pPr>
      <w:r>
        <w:rPr>
          <w:b/>
          <w:noProof/>
        </w:rPr>
        <w:t>Question for written answer E-001233/2018</w:t>
      </w:r>
    </w:p>
    <w:p w14:paraId="3DC54F2B" w14:textId="77777777" w:rsidR="00091A91" w:rsidRDefault="00091A91" w:rsidP="00091A91">
      <w:pPr>
        <w:tabs>
          <w:tab w:val="left" w:pos="1134"/>
        </w:tabs>
        <w:rPr>
          <w:b/>
          <w:noProof/>
        </w:rPr>
      </w:pPr>
      <w:r>
        <w:rPr>
          <w:b/>
          <w:noProof/>
        </w:rPr>
        <w:t>to the Commission</w:t>
      </w:r>
    </w:p>
    <w:p w14:paraId="557AFC10" w14:textId="77777777" w:rsidR="00091A91" w:rsidRDefault="00091A91" w:rsidP="00091A91">
      <w:pPr>
        <w:tabs>
          <w:tab w:val="left" w:pos="1134"/>
        </w:tabs>
        <w:rPr>
          <w:noProof/>
        </w:rPr>
      </w:pPr>
      <w:r>
        <w:rPr>
          <w:noProof/>
        </w:rPr>
        <w:t>Rule 130</w:t>
      </w:r>
    </w:p>
    <w:p w14:paraId="6A24CAAD" w14:textId="77777777" w:rsidR="00091A91" w:rsidRDefault="00091A91" w:rsidP="00091A91">
      <w:pPr>
        <w:tabs>
          <w:tab w:val="left" w:pos="1134"/>
        </w:tabs>
        <w:spacing w:after="240"/>
        <w:rPr>
          <w:b/>
          <w:noProof/>
        </w:rPr>
      </w:pPr>
      <w:r>
        <w:rPr>
          <w:b/>
          <w:noProof/>
        </w:rPr>
        <w:t>Esther de Lange (PPE)</w:t>
      </w:r>
    </w:p>
    <w:p w14:paraId="20803906" w14:textId="77777777" w:rsidR="00091A91" w:rsidRDefault="00091A91" w:rsidP="00091A91">
      <w:pPr>
        <w:tabs>
          <w:tab w:val="left" w:pos="1134"/>
        </w:tabs>
        <w:spacing w:after="240"/>
        <w:ind w:left="1134" w:hanging="1134"/>
        <w:rPr>
          <w:noProof/>
        </w:rPr>
      </w:pPr>
      <w:r>
        <w:rPr>
          <w:noProof/>
        </w:rPr>
        <w:t>Subject:</w:t>
      </w:r>
      <w:r>
        <w:rPr>
          <w:noProof/>
        </w:rPr>
        <w:tab/>
        <w:t>Enforcement of rules on products with CE marking EN1090-1</w:t>
      </w:r>
    </w:p>
    <w:p w14:paraId="72185D6A" w14:textId="77777777" w:rsidR="00091A91" w:rsidRDefault="00091A91" w:rsidP="00091A91">
      <w:pPr>
        <w:spacing w:after="240"/>
        <w:ind w:left="709" w:hanging="709"/>
        <w:rPr>
          <w:noProof/>
        </w:rPr>
      </w:pPr>
      <w:r>
        <w:rPr>
          <w:noProof/>
        </w:rPr>
        <w:t>1.</w:t>
      </w:r>
      <w:r>
        <w:rPr>
          <w:noProof/>
        </w:rPr>
        <w:tab/>
        <w:t>Is the Commission aware that the Human Environment and Transport Inspectorate (ILT), which performs a supervisory role on behalf of the Ministry of Infrastructure and Public Works in the Netherlands, has decided to suspend enforcement of the rules in the case of manufacturers who supply assembled metal structures as part of a building or of infrastructure, where the manufacturer both produces the materials in a factory and assembles them at a building site?</w:t>
      </w:r>
    </w:p>
    <w:p w14:paraId="2BC49B3A" w14:textId="77777777" w:rsidR="00091A91" w:rsidRDefault="00091A91" w:rsidP="00091A91">
      <w:pPr>
        <w:spacing w:after="240"/>
        <w:ind w:left="709" w:hanging="709"/>
        <w:rPr>
          <w:noProof/>
        </w:rPr>
      </w:pPr>
      <w:r>
        <w:rPr>
          <w:noProof/>
        </w:rPr>
        <w:t>2.</w:t>
      </w:r>
      <w:r>
        <w:rPr>
          <w:noProof/>
        </w:rPr>
        <w:tab/>
        <w:t>Does the Commission consider that a metal structure which is produced by a single manufacturer and assembled on site by it (and which becomes part of a building or of infrastructure) in order to perform a single contract that it has accepted falls under the Construction Products Regulation (CPR) and the European harmonised product standard EN 1090-1?</w:t>
      </w:r>
    </w:p>
    <w:p w14:paraId="3083D351" w14:textId="77777777" w:rsidR="00091A91" w:rsidRDefault="00091A91" w:rsidP="00091A91">
      <w:pPr>
        <w:spacing w:after="240"/>
        <w:ind w:left="709" w:hanging="709"/>
        <w:rPr>
          <w:noProof/>
        </w:rPr>
      </w:pPr>
      <w:r>
        <w:rPr>
          <w:noProof/>
        </w:rPr>
        <w:t>3.</w:t>
      </w:r>
      <w:r>
        <w:rPr>
          <w:noProof/>
        </w:rPr>
        <w:tab/>
        <w:t>What action will the Commission take to clarify whether or not a metal structure which is produced by a single manufacturer and assembled on site requires an FPC certificate?</w:t>
      </w:r>
    </w:p>
    <w:p w14:paraId="7DD8F728" w14:textId="77777777" w:rsidR="007B676F" w:rsidRPr="00091A91" w:rsidRDefault="007B676F" w:rsidP="00C82F2D">
      <w:pPr>
        <w:tabs>
          <w:tab w:val="left" w:pos="1134"/>
        </w:tabs>
        <w:rPr>
          <w:noProof/>
          <w:szCs w:val="24"/>
          <w:lang w:val="de-AT"/>
        </w:rPr>
      </w:pPr>
      <w:r w:rsidRPr="00091A91">
        <w:rPr>
          <w:noProof/>
          <w:szCs w:val="24"/>
          <w:lang w:val="de-AT"/>
        </w:rPr>
        <w:t>EN</w:t>
      </w:r>
      <w:bookmarkStart w:id="0" w:name="_GoBack"/>
      <w:bookmarkEnd w:id="0"/>
    </w:p>
    <w:p w14:paraId="7DD8F729" w14:textId="77777777" w:rsidR="007B676F" w:rsidRPr="00091A91" w:rsidRDefault="007B676F" w:rsidP="00C82F2D">
      <w:pPr>
        <w:tabs>
          <w:tab w:val="left" w:pos="1134"/>
        </w:tabs>
        <w:rPr>
          <w:noProof/>
          <w:szCs w:val="24"/>
          <w:lang w:val="de-AT"/>
        </w:rPr>
      </w:pPr>
      <w:r w:rsidRPr="00091A91">
        <w:rPr>
          <w:noProof/>
          <w:szCs w:val="24"/>
          <w:lang w:val="de-AT"/>
        </w:rPr>
        <w:t>E-001233/2018</w:t>
      </w:r>
    </w:p>
    <w:p w14:paraId="7DD8F72A" w14:textId="77777777" w:rsidR="007B676F" w:rsidRPr="00091A91" w:rsidRDefault="007B676F" w:rsidP="00C82F2D">
      <w:pPr>
        <w:tabs>
          <w:tab w:val="left" w:pos="1134"/>
        </w:tabs>
        <w:rPr>
          <w:noProof/>
          <w:szCs w:val="24"/>
          <w:lang w:val="de-AT"/>
        </w:rPr>
      </w:pPr>
      <w:r w:rsidRPr="00091A91">
        <w:rPr>
          <w:noProof/>
          <w:szCs w:val="24"/>
          <w:lang w:val="de-AT"/>
        </w:rPr>
        <w:t xml:space="preserve">Answer given by </w:t>
      </w:r>
      <w:r w:rsidR="00BA6908" w:rsidRPr="00091A91">
        <w:rPr>
          <w:noProof/>
          <w:szCs w:val="24"/>
          <w:lang w:val="de-AT"/>
        </w:rPr>
        <w:t>Ms Bieńkowska</w:t>
      </w:r>
      <w:r w:rsidRPr="00091A91">
        <w:rPr>
          <w:noProof/>
          <w:szCs w:val="24"/>
          <w:lang w:val="de-AT"/>
        </w:rPr>
        <w:t xml:space="preserve"> </w:t>
      </w:r>
    </w:p>
    <w:p w14:paraId="7DD8F72B" w14:textId="77777777" w:rsidR="007B676F" w:rsidRPr="00C82F2D" w:rsidRDefault="00BA6908" w:rsidP="00C82F2D">
      <w:pPr>
        <w:tabs>
          <w:tab w:val="left" w:pos="1134"/>
        </w:tabs>
        <w:rPr>
          <w:noProof/>
          <w:szCs w:val="24"/>
        </w:rPr>
      </w:pPr>
      <w:r w:rsidRPr="00C82F2D">
        <w:rPr>
          <w:noProof/>
          <w:szCs w:val="24"/>
        </w:rPr>
        <w:t>o</w:t>
      </w:r>
      <w:r w:rsidR="007B676F" w:rsidRPr="00C82F2D">
        <w:rPr>
          <w:noProof/>
          <w:szCs w:val="24"/>
        </w:rPr>
        <w:t>n behalf of the Commission</w:t>
      </w:r>
    </w:p>
    <w:p w14:paraId="7DD8F72C" w14:textId="77777777" w:rsidR="00C216B8" w:rsidRPr="00C82F2D" w:rsidRDefault="00BA6908" w:rsidP="00C82F2D">
      <w:pPr>
        <w:tabs>
          <w:tab w:val="left" w:pos="1134"/>
        </w:tabs>
        <w:rPr>
          <w:noProof/>
          <w:szCs w:val="24"/>
        </w:rPr>
      </w:pPr>
      <w:r w:rsidRPr="00C82F2D">
        <w:rPr>
          <w:noProof/>
          <w:szCs w:val="24"/>
        </w:rPr>
        <w:t>(18.6.2018)</w:t>
      </w:r>
    </w:p>
    <w:p w14:paraId="7DD8F72E" w14:textId="1EB155F8" w:rsidR="00BA6908" w:rsidRPr="00C82F2D" w:rsidRDefault="00BA6908" w:rsidP="00C82F2D">
      <w:pPr>
        <w:tabs>
          <w:tab w:val="left" w:pos="1134"/>
        </w:tabs>
        <w:rPr>
          <w:noProof/>
          <w:szCs w:val="24"/>
        </w:rPr>
      </w:pPr>
    </w:p>
    <w:p w14:paraId="143BCE15" w14:textId="77777777" w:rsidR="00582EC1" w:rsidRPr="00C82F2D" w:rsidRDefault="00582EC1" w:rsidP="00C82F2D">
      <w:pPr>
        <w:tabs>
          <w:tab w:val="left" w:pos="1134"/>
        </w:tabs>
        <w:rPr>
          <w:noProof/>
          <w:szCs w:val="24"/>
        </w:rPr>
      </w:pPr>
    </w:p>
    <w:p w14:paraId="0EF6FED2" w14:textId="290068E5" w:rsidR="00582EC1" w:rsidRPr="00C82F2D" w:rsidRDefault="00582EC1" w:rsidP="00C82F2D">
      <w:pPr>
        <w:rPr>
          <w:noProof/>
          <w:snapToGrid/>
          <w:szCs w:val="24"/>
          <w:lang w:eastAsia="en-GB"/>
        </w:rPr>
      </w:pPr>
      <w:r w:rsidRPr="00C82F2D">
        <w:rPr>
          <w:iCs/>
          <w:noProof/>
          <w:szCs w:val="24"/>
        </w:rPr>
        <w:t>1. Yes, the Commission was made aware of this by letter of 7 December 2017 from Koninklijke Metaalunie</w:t>
      </w:r>
      <w:r w:rsidRPr="00C82F2D">
        <w:rPr>
          <w:noProof/>
          <w:szCs w:val="24"/>
        </w:rPr>
        <w:t>.</w:t>
      </w:r>
    </w:p>
    <w:p w14:paraId="349A694D" w14:textId="77777777" w:rsidR="00582EC1" w:rsidRPr="00C82F2D" w:rsidRDefault="00582EC1" w:rsidP="00C82F2D">
      <w:pPr>
        <w:rPr>
          <w:iCs/>
          <w:noProof/>
          <w:szCs w:val="24"/>
        </w:rPr>
      </w:pPr>
    </w:p>
    <w:p w14:paraId="22C66C7E" w14:textId="7D44DE6C" w:rsidR="00582EC1" w:rsidRPr="00C82F2D" w:rsidRDefault="00582EC1" w:rsidP="00C82F2D">
      <w:pPr>
        <w:rPr>
          <w:iCs/>
          <w:noProof/>
          <w:szCs w:val="24"/>
        </w:rPr>
      </w:pPr>
      <w:r w:rsidRPr="00C82F2D">
        <w:rPr>
          <w:iCs/>
          <w:noProof/>
          <w:szCs w:val="24"/>
        </w:rPr>
        <w:t>2. If a construction product (e.g. a metal structure) is both manufactured and incorporated into the construction work (e.g. a building) by the same economic actor, no transaction or change of ownership of that product takes place between the manufacturing and the incorporation phases. The Commission recalls that, according to Article 1 of the Construction Products Regulation 305/2011 ('CPR'), the Regulation lays down conditions for the placing or making available on the market of construction products. In these particular circumstances, and in the absence of any further information to the contrary, the CPR does not appear to be applicable.</w:t>
      </w:r>
    </w:p>
    <w:p w14:paraId="313CD61F" w14:textId="77777777" w:rsidR="00582EC1" w:rsidRPr="00C82F2D" w:rsidRDefault="00582EC1" w:rsidP="00C82F2D">
      <w:pPr>
        <w:rPr>
          <w:iCs/>
          <w:noProof/>
          <w:szCs w:val="24"/>
        </w:rPr>
      </w:pPr>
    </w:p>
    <w:p w14:paraId="05EF2D85" w14:textId="1A27B15B" w:rsidR="00582EC1" w:rsidRPr="00C82F2D" w:rsidRDefault="00582EC1" w:rsidP="00C82F2D">
      <w:pPr>
        <w:rPr>
          <w:iCs/>
          <w:noProof/>
          <w:szCs w:val="24"/>
        </w:rPr>
      </w:pPr>
      <w:r w:rsidRPr="00C82F2D">
        <w:rPr>
          <w:iCs/>
          <w:noProof/>
          <w:szCs w:val="24"/>
        </w:rPr>
        <w:t>3. Consequently, the Factory Production Control (FPC) certification rules based on the CPR do not appear applicable either in the situation described above.</w:t>
      </w:r>
    </w:p>
    <w:p w14:paraId="7FCBC28D" w14:textId="77777777" w:rsidR="004836FE" w:rsidRPr="00C82F2D" w:rsidRDefault="004836FE" w:rsidP="00C82F2D">
      <w:pPr>
        <w:rPr>
          <w:noProof/>
          <w:szCs w:val="24"/>
        </w:rPr>
      </w:pPr>
    </w:p>
    <w:sectPr w:rsidR="004836FE" w:rsidRPr="00C82F2D" w:rsidSect="00C82F2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24E6" w14:textId="77777777" w:rsidR="00C311A4" w:rsidRPr="00736253" w:rsidRDefault="00C311A4">
      <w:r w:rsidRPr="00736253">
        <w:separator/>
      </w:r>
    </w:p>
  </w:endnote>
  <w:endnote w:type="continuationSeparator" w:id="0">
    <w:p w14:paraId="3C38FA7C" w14:textId="77777777" w:rsidR="00C311A4" w:rsidRPr="00736253" w:rsidRDefault="00C311A4">
      <w:r w:rsidRPr="007362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F071" w14:textId="77777777" w:rsidR="004836FE" w:rsidRDefault="004836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F73A" w14:textId="77777777" w:rsidR="001131AC" w:rsidRPr="00C82F2D" w:rsidRDefault="001131AC" w:rsidP="00C82F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9C8D" w14:textId="77777777" w:rsidR="004836FE" w:rsidRDefault="004836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24FA" w14:textId="77777777" w:rsidR="00C311A4" w:rsidRPr="00736253" w:rsidRDefault="00C311A4">
      <w:r w:rsidRPr="00736253">
        <w:separator/>
      </w:r>
    </w:p>
  </w:footnote>
  <w:footnote w:type="continuationSeparator" w:id="0">
    <w:p w14:paraId="0CA1FBD8" w14:textId="77777777" w:rsidR="00C311A4" w:rsidRPr="00736253" w:rsidRDefault="00C311A4">
      <w:r w:rsidRPr="0073625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572E" w14:textId="77777777" w:rsidR="004836FE" w:rsidRDefault="004836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3B50" w14:textId="77777777" w:rsidR="004836FE" w:rsidRPr="00C82F2D" w:rsidRDefault="004836FE" w:rsidP="00C82F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2616" w14:textId="77777777" w:rsidR="004836FE" w:rsidRDefault="004836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646"/>
    <w:multiLevelType w:val="hybridMultilevel"/>
    <w:tmpl w:val="08003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03FE1"/>
    <w:multiLevelType w:val="hybridMultilevel"/>
    <w:tmpl w:val="08003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6" w:nlCheck="1" w:checkStyle="1"/>
  <w:activeWritingStyle w:appName="MSWord" w:lang="fr-BE" w:vendorID="64" w:dllVersion="6" w:nlCheck="1" w:checkStyle="1"/>
  <w:activeWritingStyle w:appName="MSWord" w:lang="de-DE" w:vendorID="64" w:dllVersion="6" w:nlCheck="1" w:checkStyle="0"/>
  <w:activeWritingStyle w:appName="MSWord" w:lang="en-GB"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A7"/>
    <w:rsid w:val="00007D4D"/>
    <w:rsid w:val="000417A1"/>
    <w:rsid w:val="000457F1"/>
    <w:rsid w:val="00053EE8"/>
    <w:rsid w:val="0006026E"/>
    <w:rsid w:val="00091A91"/>
    <w:rsid w:val="000F5323"/>
    <w:rsid w:val="000F5E0A"/>
    <w:rsid w:val="001131AC"/>
    <w:rsid w:val="00132B9D"/>
    <w:rsid w:val="001A01E7"/>
    <w:rsid w:val="001E2097"/>
    <w:rsid w:val="00205C17"/>
    <w:rsid w:val="002365B0"/>
    <w:rsid w:val="00312BBE"/>
    <w:rsid w:val="003404B3"/>
    <w:rsid w:val="00360568"/>
    <w:rsid w:val="00363B0C"/>
    <w:rsid w:val="003A1959"/>
    <w:rsid w:val="003D2B02"/>
    <w:rsid w:val="00450AD5"/>
    <w:rsid w:val="00475706"/>
    <w:rsid w:val="004836FE"/>
    <w:rsid w:val="004B4554"/>
    <w:rsid w:val="004D1C62"/>
    <w:rsid w:val="004D66A3"/>
    <w:rsid w:val="00502F25"/>
    <w:rsid w:val="00544A39"/>
    <w:rsid w:val="00582456"/>
    <w:rsid w:val="00582EC1"/>
    <w:rsid w:val="005A7709"/>
    <w:rsid w:val="005F2DA2"/>
    <w:rsid w:val="0063286A"/>
    <w:rsid w:val="006529BB"/>
    <w:rsid w:val="0068475D"/>
    <w:rsid w:val="00687605"/>
    <w:rsid w:val="00736253"/>
    <w:rsid w:val="0075256E"/>
    <w:rsid w:val="0079599D"/>
    <w:rsid w:val="007B676F"/>
    <w:rsid w:val="007E1D7E"/>
    <w:rsid w:val="007E2438"/>
    <w:rsid w:val="007E7587"/>
    <w:rsid w:val="00821923"/>
    <w:rsid w:val="0084204A"/>
    <w:rsid w:val="0085646B"/>
    <w:rsid w:val="008B1124"/>
    <w:rsid w:val="0093445B"/>
    <w:rsid w:val="00954E0F"/>
    <w:rsid w:val="00966773"/>
    <w:rsid w:val="009929BB"/>
    <w:rsid w:val="00A36B00"/>
    <w:rsid w:val="00A5477D"/>
    <w:rsid w:val="00A92E70"/>
    <w:rsid w:val="00AA0B8F"/>
    <w:rsid w:val="00AE6740"/>
    <w:rsid w:val="00B4456B"/>
    <w:rsid w:val="00BA05D7"/>
    <w:rsid w:val="00BA6908"/>
    <w:rsid w:val="00BE6679"/>
    <w:rsid w:val="00BF4787"/>
    <w:rsid w:val="00C2009F"/>
    <w:rsid w:val="00C216B8"/>
    <w:rsid w:val="00C3060D"/>
    <w:rsid w:val="00C311A4"/>
    <w:rsid w:val="00C318B4"/>
    <w:rsid w:val="00C407C3"/>
    <w:rsid w:val="00C829A4"/>
    <w:rsid w:val="00C82F2D"/>
    <w:rsid w:val="00CD005F"/>
    <w:rsid w:val="00CE4142"/>
    <w:rsid w:val="00D145A2"/>
    <w:rsid w:val="00DA6AA7"/>
    <w:rsid w:val="00DB765D"/>
    <w:rsid w:val="00DE59A7"/>
    <w:rsid w:val="00E03032"/>
    <w:rsid w:val="00E0506A"/>
    <w:rsid w:val="00E206CA"/>
    <w:rsid w:val="00E21223"/>
    <w:rsid w:val="00E46E2C"/>
    <w:rsid w:val="00E65F09"/>
    <w:rsid w:val="00E71957"/>
    <w:rsid w:val="00E80103"/>
    <w:rsid w:val="00EB394E"/>
    <w:rsid w:val="00EC4638"/>
    <w:rsid w:val="00ED0402"/>
    <w:rsid w:val="00EF73C8"/>
    <w:rsid w:val="00F22823"/>
    <w:rsid w:val="00F37261"/>
    <w:rsid w:val="00F75D8C"/>
    <w:rsid w:val="00FA034B"/>
    <w:rsid w:val="00FD79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D8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829A4"/>
    <w:pPr>
      <w:widowControl w:val="0"/>
    </w:pPr>
    <w:rPr>
      <w:rFonts w:ascii="Arial" w:hAnsi="Arial" w:cs="Arial"/>
      <w:snapToGrid w:val="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rsid w:val="00C216B8"/>
    <w:rPr>
      <w:rFonts w:ascii="Arial" w:hAnsi="Arial" w:cs="Arial"/>
      <w:b w:val="0"/>
      <w:i w:val="0"/>
      <w:caps w:val="0"/>
      <w:smallCaps w:val="0"/>
      <w:strike w:val="0"/>
      <w:dstrike w:val="0"/>
      <w:vanish w:val="0"/>
      <w:color w:val="auto"/>
      <w:spacing w:val="0"/>
      <w:w w:val="100"/>
      <w:kern w:val="0"/>
      <w:position w:val="0"/>
      <w:sz w:val="18"/>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Kopfzeile">
    <w:name w:val="header"/>
    <w:basedOn w:val="Standard"/>
    <w:pPr>
      <w:tabs>
        <w:tab w:val="center" w:pos="4153"/>
        <w:tab w:val="right" w:pos="8306"/>
      </w:tabs>
    </w:pPr>
  </w:style>
  <w:style w:type="paragraph" w:styleId="Fuzeile">
    <w:name w:val="footer"/>
    <w:basedOn w:val="Standard"/>
    <w:rsid w:val="001131AC"/>
    <w:pPr>
      <w:tabs>
        <w:tab w:val="center" w:pos="4535"/>
        <w:tab w:val="right" w:pos="9071"/>
      </w:tabs>
      <w:spacing w:before="240" w:after="240"/>
    </w:pPr>
    <w:rPr>
      <w:snapToGrid/>
      <w:sz w:val="22"/>
      <w:lang w:eastAsia="en-GB"/>
    </w:rPr>
  </w:style>
  <w:style w:type="character" w:styleId="Seitenzahl">
    <w:name w:val="page number"/>
    <w:basedOn w:val="Absatz-Standardschriftart"/>
  </w:style>
  <w:style w:type="paragraph" w:styleId="Funotentext">
    <w:name w:val="footnote text"/>
    <w:basedOn w:val="Standard"/>
    <w:semiHidden/>
    <w:rPr>
      <w:sz w:val="18"/>
    </w:rPr>
  </w:style>
  <w:style w:type="paragraph" w:styleId="Sprechblasentext">
    <w:name w:val="Balloon Text"/>
    <w:basedOn w:val="Standard"/>
    <w:semiHidden/>
    <w:rsid w:val="00CD005F"/>
    <w:rPr>
      <w:rFonts w:ascii="Tahoma" w:hAnsi="Tahoma" w:cs="Tahoma"/>
      <w:sz w:val="16"/>
      <w:szCs w:val="16"/>
    </w:rPr>
  </w:style>
  <w:style w:type="paragraph" w:styleId="Listenabsatz">
    <w:name w:val="List Paragraph"/>
    <w:basedOn w:val="Standard"/>
    <w:uiPriority w:val="34"/>
    <w:qFormat/>
    <w:rsid w:val="00EB394E"/>
    <w:pPr>
      <w:ind w:left="720"/>
      <w:contextualSpacing/>
    </w:pPr>
  </w:style>
  <w:style w:type="character" w:styleId="Kommentarzeichen">
    <w:name w:val="annotation reference"/>
    <w:basedOn w:val="Absatz-Standardschriftart"/>
    <w:semiHidden/>
    <w:unhideWhenUsed/>
    <w:rsid w:val="003404B3"/>
    <w:rPr>
      <w:sz w:val="16"/>
      <w:szCs w:val="16"/>
    </w:rPr>
  </w:style>
  <w:style w:type="paragraph" w:styleId="Kommentartext">
    <w:name w:val="annotation text"/>
    <w:basedOn w:val="Standard"/>
    <w:link w:val="KommentartextZchn"/>
    <w:semiHidden/>
    <w:unhideWhenUsed/>
    <w:rsid w:val="003404B3"/>
  </w:style>
  <w:style w:type="character" w:customStyle="1" w:styleId="KommentartextZchn">
    <w:name w:val="Kommentartext Zchn"/>
    <w:basedOn w:val="Absatz-Standardschriftart"/>
    <w:link w:val="Kommentartext"/>
    <w:semiHidden/>
    <w:rsid w:val="003404B3"/>
    <w:rPr>
      <w:rFonts w:ascii="Arial" w:hAnsi="Arial" w:cs="Arial"/>
      <w:snapToGrid w:val="0"/>
      <w:lang w:eastAsia="en-US"/>
    </w:rPr>
  </w:style>
  <w:style w:type="paragraph" w:styleId="Kommentarthema">
    <w:name w:val="annotation subject"/>
    <w:basedOn w:val="Kommentartext"/>
    <w:next w:val="Kommentartext"/>
    <w:link w:val="KommentarthemaZchn"/>
    <w:semiHidden/>
    <w:unhideWhenUsed/>
    <w:rsid w:val="003404B3"/>
    <w:rPr>
      <w:b/>
      <w:bCs/>
    </w:rPr>
  </w:style>
  <w:style w:type="character" w:customStyle="1" w:styleId="KommentarthemaZchn">
    <w:name w:val="Kommentarthema Zchn"/>
    <w:basedOn w:val="KommentartextZchn"/>
    <w:link w:val="Kommentarthema"/>
    <w:semiHidden/>
    <w:rsid w:val="003404B3"/>
    <w:rPr>
      <w:rFonts w:ascii="Arial" w:hAnsi="Arial" w:cs="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136">
      <w:bodyDiv w:val="1"/>
      <w:marLeft w:val="0"/>
      <w:marRight w:val="0"/>
      <w:marTop w:val="0"/>
      <w:marBottom w:val="0"/>
      <w:divBdr>
        <w:top w:val="none" w:sz="0" w:space="0" w:color="auto"/>
        <w:left w:val="none" w:sz="0" w:space="0" w:color="auto"/>
        <w:bottom w:val="none" w:sz="0" w:space="0" w:color="auto"/>
        <w:right w:val="none" w:sz="0" w:space="0" w:color="auto"/>
      </w:divBdr>
    </w:div>
    <w:div w:id="501622044">
      <w:bodyDiv w:val="1"/>
      <w:marLeft w:val="0"/>
      <w:marRight w:val="0"/>
      <w:marTop w:val="0"/>
      <w:marBottom w:val="0"/>
      <w:divBdr>
        <w:top w:val="none" w:sz="0" w:space="0" w:color="auto"/>
        <w:left w:val="none" w:sz="0" w:space="0" w:color="auto"/>
        <w:bottom w:val="none" w:sz="0" w:space="0" w:color="auto"/>
        <w:right w:val="none" w:sz="0" w:space="0" w:color="auto"/>
      </w:divBdr>
    </w:div>
    <w:div w:id="935360125">
      <w:bodyDiv w:val="1"/>
      <w:marLeft w:val="0"/>
      <w:marRight w:val="0"/>
      <w:marTop w:val="0"/>
      <w:marBottom w:val="0"/>
      <w:divBdr>
        <w:top w:val="none" w:sz="0" w:space="0" w:color="auto"/>
        <w:left w:val="none" w:sz="0" w:space="0" w:color="auto"/>
        <w:bottom w:val="none" w:sz="0" w:space="0" w:color="auto"/>
        <w:right w:val="none" w:sz="0" w:space="0" w:color="auto"/>
      </w:divBdr>
    </w:div>
    <w:div w:id="1060984958">
      <w:bodyDiv w:val="1"/>
      <w:marLeft w:val="0"/>
      <w:marRight w:val="0"/>
      <w:marTop w:val="0"/>
      <w:marBottom w:val="0"/>
      <w:divBdr>
        <w:top w:val="none" w:sz="0" w:space="0" w:color="auto"/>
        <w:left w:val="none" w:sz="0" w:space="0" w:color="auto"/>
        <w:bottom w:val="none" w:sz="0" w:space="0" w:color="auto"/>
        <w:right w:val="none" w:sz="0" w:space="0" w:color="auto"/>
      </w:divBdr>
    </w:div>
    <w:div w:id="1534264296">
      <w:bodyDiv w:val="1"/>
      <w:marLeft w:val="0"/>
      <w:marRight w:val="0"/>
      <w:marTop w:val="0"/>
      <w:marBottom w:val="0"/>
      <w:divBdr>
        <w:top w:val="none" w:sz="0" w:space="0" w:color="auto"/>
        <w:left w:val="none" w:sz="0" w:space="0" w:color="auto"/>
        <w:bottom w:val="none" w:sz="0" w:space="0" w:color="auto"/>
        <w:right w:val="none" w:sz="0" w:space="0" w:color="auto"/>
      </w:divBdr>
    </w:div>
    <w:div w:id="1577782012">
      <w:bodyDiv w:val="1"/>
      <w:marLeft w:val="0"/>
      <w:marRight w:val="0"/>
      <w:marTop w:val="0"/>
      <w:marBottom w:val="0"/>
      <w:divBdr>
        <w:top w:val="none" w:sz="0" w:space="0" w:color="auto"/>
        <w:left w:val="none" w:sz="0" w:space="0" w:color="auto"/>
        <w:bottom w:val="none" w:sz="0" w:space="0" w:color="auto"/>
        <w:right w:val="none" w:sz="0" w:space="0" w:color="auto"/>
      </w:divBdr>
    </w:div>
    <w:div w:id="19423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2019-03-12T07:36:00Z</dcterms:created>
  <dcterms:modified xsi:type="dcterms:W3CDTF">2019-03-12T07:36:00Z</dcterms:modified>
</cp:coreProperties>
</file>